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60E" w14:textId="5693592B" w:rsidR="00181537" w:rsidRPr="00546C7B" w:rsidRDefault="00181537" w:rsidP="00DB03DB">
      <w:pPr>
        <w:rPr>
          <w:b/>
          <w:bCs/>
          <w:sz w:val="22"/>
          <w:szCs w:val="22"/>
        </w:rPr>
      </w:pPr>
      <w:r w:rsidRPr="00546C7B">
        <w:rPr>
          <w:b/>
          <w:bCs/>
          <w:sz w:val="22"/>
          <w:szCs w:val="22"/>
        </w:rPr>
        <w:t>“</w:t>
      </w:r>
      <w:r w:rsidR="000D2715" w:rsidRPr="00546C7B">
        <w:rPr>
          <w:b/>
          <w:bCs/>
          <w:sz w:val="22"/>
          <w:szCs w:val="22"/>
        </w:rPr>
        <w:t>Situat</w:t>
      </w:r>
      <w:r w:rsidR="0024192E" w:rsidRPr="00546C7B">
        <w:rPr>
          <w:b/>
          <w:bCs/>
          <w:sz w:val="22"/>
          <w:szCs w:val="22"/>
        </w:rPr>
        <w:t>ional</w:t>
      </w:r>
      <w:r w:rsidR="000D2715" w:rsidRPr="00546C7B">
        <w:rPr>
          <w:b/>
          <w:bCs/>
          <w:sz w:val="22"/>
          <w:szCs w:val="22"/>
        </w:rPr>
        <w:t xml:space="preserve"> Poetry</w:t>
      </w:r>
      <w:r w:rsidRPr="00546C7B">
        <w:rPr>
          <w:b/>
          <w:bCs/>
          <w:sz w:val="22"/>
          <w:szCs w:val="22"/>
        </w:rPr>
        <w:t>”</w:t>
      </w:r>
    </w:p>
    <w:p w14:paraId="4F5707CD" w14:textId="0564FD88" w:rsidR="00DB03DB" w:rsidRPr="00237AF8" w:rsidRDefault="00DB03DB" w:rsidP="00DB03DB">
      <w:pPr>
        <w:rPr>
          <w:sz w:val="22"/>
          <w:szCs w:val="22"/>
        </w:rPr>
      </w:pPr>
      <w:r>
        <w:rPr>
          <w:sz w:val="22"/>
          <w:szCs w:val="22"/>
        </w:rPr>
        <w:t>Shared by Erin Edgington, University of Nevada, Reno</w:t>
      </w:r>
    </w:p>
    <w:p w14:paraId="5D792202" w14:textId="77777777" w:rsidR="00237AF8" w:rsidRPr="00237AF8" w:rsidRDefault="00237AF8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1B19B5CF" w14:textId="266C9B67" w:rsidR="00CE78C0" w:rsidRDefault="00CE78C0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This activity may be used </w:t>
      </w:r>
      <w:r w:rsidR="009A6F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at any </w:t>
      </w:r>
      <w:r w:rsidR="00A64C1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point</w:t>
      </w:r>
      <w:r w:rsidR="009A6FA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of the term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as an applied reading </w:t>
      </w:r>
      <w:r w:rsidR="00AD1DF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technique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7F006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and/or as the basis for a more substantial midterm or final project.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 poems chosen may be from any period</w:t>
      </w:r>
      <w:r w:rsidR="00FF2E75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written in any form/style </w:t>
      </w:r>
      <w:r w:rsidR="00D866A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that is </w:t>
      </w:r>
      <w:r w:rsidR="00FF2E75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in focus in the course</w:t>
      </w:r>
      <w:r w:rsidR="00EC56C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or module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4B13F9FA" w14:textId="77777777" w:rsidR="007F0063" w:rsidRDefault="007F0063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2999FCB4" w14:textId="58EEC21F" w:rsidR="008A550C" w:rsidRDefault="00B12E06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Each student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select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(or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is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assigned) a poem that </w:t>
      </w:r>
      <w:r w:rsidR="00D704A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has some connection to the environment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  <w:r w:rsidR="00D704A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Depending upon the level and focus of the course</w:t>
      </w:r>
      <w:r w:rsidR="000552F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or module</w:t>
      </w:r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, examples could be </w:t>
      </w:r>
      <w:proofErr w:type="gramStart"/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more or less explicitly</w:t>
      </w:r>
      <w:proofErr w:type="gramEnd"/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connected to the environment. </w:t>
      </w:r>
      <w:r w:rsidR="00DB119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(</w:t>
      </w:r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For example, students in bridge or introductory literature courses might work with </w:t>
      </w:r>
      <w:r w:rsidR="00D704A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Romantic poetry </w:t>
      </w:r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that incorporates clear nature imagery while more advanced students might consider poems featuring altered, obscured, or implied environments.</w:t>
      </w:r>
      <w:r w:rsidR="00DB119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) No matter the poem,</w:t>
      </w:r>
      <w:r w:rsidR="0092038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DB119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he goal of the activity is </w:t>
      </w:r>
      <w:r w:rsidR="00F75695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for students to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connect </w:t>
      </w:r>
      <w:r w:rsidR="00DB119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ir</w:t>
      </w:r>
      <w:r w:rsidR="00DB119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text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first, to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literary historical context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(s) they are studying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second, to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F75695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their</w:t>
      </w:r>
      <w:r w:rsidR="006A6D9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own</w:t>
      </w:r>
      <w:r w:rsidR="00237AF8" w:rsidRPr="00237AF8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local environments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 In sharing their findings with their peers via presentations</w:t>
      </w:r>
      <w:r w:rsidR="007F656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–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which may be formal or informal</w:t>
      </w:r>
      <w:r w:rsidR="007F656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–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F86DA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students are able to go beyond explaining what the language means, either literally or figuratively, and discuss the meaning(s) they </w:t>
      </w:r>
      <w:r w:rsidR="00685A3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make of</w:t>
      </w:r>
      <w:r w:rsidR="00F86DA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their poems</w:t>
      </w:r>
      <w:r w:rsidR="008A550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3EAFADA8" w14:textId="77777777" w:rsidR="008A550C" w:rsidRDefault="008A550C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F52D108" w14:textId="3A6BB93D" w:rsidR="00DB119B" w:rsidRDefault="008A550C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In addition to providing </w:t>
      </w:r>
      <w:r w:rsidR="006A20B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students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with </w:t>
      </w:r>
      <w:r w:rsidR="006A20B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technique </w:t>
      </w:r>
      <w:r w:rsidR="006A20B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to help them engage more deeply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with poetic text</w:t>
      </w:r>
      <w:r w:rsidR="006A20B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, completing this activity also encourages </w:t>
      </w:r>
      <w:r w:rsidR="001037B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them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to recognize poetry as a genre that is connected to, rather than abstracted from, everyday life.</w:t>
      </w:r>
    </w:p>
    <w:p w14:paraId="3880AE79" w14:textId="77777777" w:rsidR="0017055F" w:rsidRDefault="0017055F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3B1F53F5" w14:textId="08661260" w:rsidR="0017055F" w:rsidRDefault="0017055F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As a teacher of French language and literature in the western United States, my students are often concerned to know how French connects to their lived experiences. </w:t>
      </w:r>
      <w:r w:rsidR="00546C7B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As a specialist of nineteenth-century French(-Canadian) poetry, I face the additional challenge of helping students to relate to literature written more than a century ago. </w:t>
      </w:r>
      <w:r w:rsidR="00C0000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Most of my students are also studying another subject in combination with French, which may or may not be another humanities discipline.</w:t>
      </w:r>
      <w:r w:rsidR="00A229D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E1752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In fact, as Nevada’s land-grant institution, my university offer majors in agriculture and mining as well as in related disciplines like forest and rangeland management. </w:t>
      </w:r>
      <w:r w:rsidR="00A229D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This activity offers</w:t>
      </w:r>
      <w:r w:rsidR="00BB361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</w:t>
      </w:r>
      <w:r w:rsidR="00A229D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flexibility to </w:t>
      </w:r>
      <w:r w:rsidR="00BB361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accommodate </w:t>
      </w:r>
      <w:r w:rsidR="00A229D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students with multiple interests </w:t>
      </w:r>
      <w:r w:rsidR="00BB361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and encourage</w:t>
      </w:r>
      <w:r w:rsidR="0007051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</w:t>
      </w:r>
      <w:r w:rsidR="00BB361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them </w:t>
      </w:r>
      <w:r w:rsidR="0007051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to bring</w:t>
      </w:r>
      <w:r w:rsidR="00A229D2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related knowledge</w:t>
      </w:r>
      <w:r w:rsidR="00E5109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from other disciplines</w:t>
      </w:r>
      <w:r w:rsidR="0007051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to bear on their study of literature</w:t>
      </w:r>
      <w:r w:rsidR="00E5109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  <w:r w:rsidR="00D3031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E5109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</w:p>
    <w:p w14:paraId="28CABD4E" w14:textId="77777777" w:rsidR="00A165BC" w:rsidRDefault="00A165BC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7CE5008B" w14:textId="3B841AAD" w:rsidR="00D15B6C" w:rsidRDefault="00BC0E47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For example, were I to assign students poems by the French-Canadian poet William Chapman on the topics of logging and agriculture, students with any combination of interests and academic majors could trace productive connections</w:t>
      </w:r>
      <w:r w:rsidR="00381E1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. On the notion of the frontier, for instance, </w:t>
      </w:r>
      <w:r w:rsidR="008E38E6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students</w:t>
      </w:r>
      <w:r w:rsidR="00381E1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might compare Chapman’s interest in clearing areas of the forest for settlement in Québec to similar activities undertaken in Nevada and California around the same time</w:t>
      </w:r>
      <w:r w:rsidR="000F7D9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(anthropology, </w:t>
      </w:r>
      <w:r w:rsidR="004A724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economics, </w:t>
      </w:r>
      <w:r w:rsidR="000F7D9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history)</w:t>
      </w:r>
      <w:r w:rsidR="009A091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as well as today when cities in the west continue to expand, encroaching on natural environments and straining natural resources</w:t>
      </w:r>
      <w:r w:rsidR="000F7D9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(political science, rangeland management)</w:t>
      </w:r>
      <w:r w:rsidR="00381E1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  <w:r w:rsidR="000F613A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9A091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Similarly, i</w:t>
      </w:r>
      <w:r w:rsidR="000F613A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n his several poems representing forest fires, </w:t>
      </w:r>
      <w:r w:rsidR="0033385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students</w:t>
      </w:r>
      <w:r w:rsidR="00815F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would find readymade comparisons to their own experiences of late summer and fall in Nevada</w:t>
      </w:r>
      <w:r w:rsidR="0079182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(environmental science</w:t>
      </w:r>
      <w:r w:rsidR="00E406D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geography</w:t>
      </w:r>
      <w:r w:rsidR="0079182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)</w:t>
      </w:r>
      <w:r w:rsidR="00815F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could consider how </w:t>
      </w:r>
      <w:r w:rsidR="002A10E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Chapman’s</w:t>
      </w:r>
      <w:r w:rsidR="00815F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positive interpretation of fire as making way for </w:t>
      </w:r>
      <w:r w:rsidR="007C3E2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crops</w:t>
      </w:r>
      <w:r w:rsidR="00815F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compares</w:t>
      </w:r>
      <w:r w:rsidR="009D031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="009C0D6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to</w:t>
      </w:r>
      <w:r w:rsidR="00815F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our perception of fire as </w:t>
      </w:r>
      <w:r w:rsidR="00890B7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dangerous to our built </w:t>
      </w:r>
      <w:r w:rsidR="00D15B6C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environments</w:t>
      </w:r>
      <w:r w:rsidR="001D6D5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including farm and ranchlands</w:t>
      </w:r>
      <w:r w:rsidR="009C0D6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but also regenerative</w:t>
      </w:r>
      <w:r w:rsidR="009D031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(philosophy, </w:t>
      </w:r>
      <w:r w:rsidR="009C0D6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fire science</w:t>
      </w:r>
      <w:r w:rsidR="009D0314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)</w:t>
      </w:r>
      <w:r w:rsidR="00890B7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</w:t>
      </w:r>
    </w:p>
    <w:p w14:paraId="19DDBE59" w14:textId="77777777" w:rsidR="00882921" w:rsidRDefault="00882921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5363F6E5" w14:textId="77777777" w:rsidR="00F11887" w:rsidRDefault="00F11887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p w14:paraId="086A18BA" w14:textId="77777777" w:rsidR="00F11887" w:rsidRDefault="00F11887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sectPr w:rsidR="00F118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A1DB00" w14:textId="6C3B1AAF" w:rsidR="00882921" w:rsidRDefault="003D365E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lastRenderedPageBreak/>
        <w:t>If this activity is assigned as a midterm or final project, t</w:t>
      </w:r>
      <w:r w:rsidR="00BD170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he</w:t>
      </w:r>
      <w:r w:rsidR="00882921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rubric below may be useful in assessing student learning</w:t>
      </w:r>
      <w:r w:rsidR="00BD170D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. In instances where students have not been asked to write papers, the fifth criterion may be modified or excluded.</w:t>
      </w:r>
    </w:p>
    <w:p w14:paraId="27B5C985" w14:textId="77777777" w:rsidR="00181537" w:rsidRDefault="00181537" w:rsidP="00237AF8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1537" w:rsidRPr="00F11887" w14:paraId="28C90A60" w14:textId="77777777" w:rsidTr="002155D6">
        <w:tc>
          <w:tcPr>
            <w:tcW w:w="2337" w:type="dxa"/>
            <w:tcBorders>
              <w:top w:val="nil"/>
              <w:left w:val="nil"/>
            </w:tcBorders>
          </w:tcPr>
          <w:p w14:paraId="25850906" w14:textId="77777777" w:rsidR="00181537" w:rsidRPr="00F11887" w:rsidRDefault="00181537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7" w:type="dxa"/>
          </w:tcPr>
          <w:p w14:paraId="7BB7E698" w14:textId="3FF94E33" w:rsidR="00181537" w:rsidRPr="00F11887" w:rsidRDefault="00181537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Does Not Meet Standards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(US </w:t>
            </w:r>
            <w:r w:rsidR="005905C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&lt;60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, UK </w:t>
            </w:r>
            <w:r w:rsidR="005905C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&lt;40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338" w:type="dxa"/>
          </w:tcPr>
          <w:p w14:paraId="591656FE" w14:textId="79B9F31E" w:rsidR="00181537" w:rsidRPr="00F11887" w:rsidRDefault="00181537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Meets Standards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(US </w:t>
            </w:r>
            <w:r w:rsidR="005905C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6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0+, UK 50+)</w:t>
            </w:r>
          </w:p>
        </w:tc>
        <w:tc>
          <w:tcPr>
            <w:tcW w:w="2338" w:type="dxa"/>
          </w:tcPr>
          <w:p w14:paraId="49143F31" w14:textId="76A73263" w:rsidR="00181537" w:rsidRPr="00F11887" w:rsidRDefault="00181537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Exceeds Standards</w:t>
            </w:r>
            <w:r w:rsidR="006E2C3C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(US 90+, UK 70+)</w:t>
            </w:r>
          </w:p>
        </w:tc>
      </w:tr>
      <w:tr w:rsidR="00181537" w:rsidRPr="00F11887" w14:paraId="376AB2A7" w14:textId="77777777" w:rsidTr="00181537">
        <w:tc>
          <w:tcPr>
            <w:tcW w:w="2337" w:type="dxa"/>
          </w:tcPr>
          <w:p w14:paraId="439FDAF8" w14:textId="3A2F2403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Literary historical context</w:t>
            </w:r>
            <w:r w:rsidR="00862353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(2</w:t>
            </w:r>
            <w:r w:rsidR="0062258F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5</w:t>
            </w:r>
            <w:r w:rsidR="00862353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%)</w:t>
            </w:r>
          </w:p>
        </w:tc>
        <w:tc>
          <w:tcPr>
            <w:tcW w:w="2337" w:type="dxa"/>
          </w:tcPr>
          <w:p w14:paraId="66A02A9E" w14:textId="49D6BA69" w:rsidR="00181537" w:rsidRPr="00F11887" w:rsidRDefault="00813259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There is no attempt to connect the poem to its literary historical context or the context is misunderstood</w:t>
            </w:r>
            <w:r w:rsidR="0074780D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and/or misrepresented.</w:t>
            </w:r>
          </w:p>
        </w:tc>
        <w:tc>
          <w:tcPr>
            <w:tcW w:w="2338" w:type="dxa"/>
          </w:tcPr>
          <w:p w14:paraId="298FD707" w14:textId="26305263" w:rsidR="00181537" w:rsidRPr="00F11887" w:rsidRDefault="008B2B2E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Several aspects of the poem’s literary historical context are presented,</w:t>
            </w:r>
            <w:r w:rsidR="00DB2F1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enhancing understanding of the text</w:t>
            </w:r>
            <w:r w:rsidR="005D28ED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</w:t>
            </w:r>
            <w:r w:rsidR="002A42E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somewhat</w:t>
            </w:r>
            <w:r w:rsidR="00DB2F1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 A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udience members may </w:t>
            </w:r>
            <w:r w:rsidR="00EE521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not fully understand the</w:t>
            </w:r>
            <w:r w:rsidR="00C2083A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connections </w:t>
            </w:r>
            <w:r w:rsidR="00EE521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made </w:t>
            </w:r>
            <w:r w:rsidR="00C2083A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between th</w:t>
            </w:r>
            <w:r w:rsidR="00DB2F1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 text and its</w:t>
            </w:r>
            <w:r w:rsidR="00C2083A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context</w:t>
            </w:r>
            <w:r w:rsidR="00DB2F1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338" w:type="dxa"/>
          </w:tcPr>
          <w:p w14:paraId="0E38E30A" w14:textId="53A86120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Multiple aspects of the poem’s literary historical context are presented and explained</w:t>
            </w:r>
            <w:r w:rsidR="00D04C5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with clear reference to the text</w:t>
            </w:r>
            <w:r w:rsidR="0081325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, leading to an enhanced understanding of the text.</w:t>
            </w:r>
          </w:p>
        </w:tc>
      </w:tr>
      <w:tr w:rsidR="00181537" w:rsidRPr="00F11887" w14:paraId="7899CC42" w14:textId="77777777" w:rsidTr="00181537">
        <w:tc>
          <w:tcPr>
            <w:tcW w:w="2337" w:type="dxa"/>
          </w:tcPr>
          <w:p w14:paraId="1354771B" w14:textId="3EF31282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Local context</w:t>
            </w:r>
            <w:r w:rsidR="00862353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(2</w:t>
            </w:r>
            <w:r w:rsidR="0062258F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5</w:t>
            </w:r>
            <w:r w:rsidR="00862353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%)</w:t>
            </w:r>
          </w:p>
        </w:tc>
        <w:tc>
          <w:tcPr>
            <w:tcW w:w="2337" w:type="dxa"/>
          </w:tcPr>
          <w:p w14:paraId="2A69F065" w14:textId="65EABA4F" w:rsidR="00181537" w:rsidRPr="00F11887" w:rsidRDefault="00D04C5B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There is no attempt to connect the poem to our local </w:t>
            </w:r>
            <w:r w:rsidR="00AD1DF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environment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or the context is misunderstood and/or misrepresented.</w:t>
            </w:r>
          </w:p>
        </w:tc>
        <w:tc>
          <w:tcPr>
            <w:tcW w:w="2338" w:type="dxa"/>
          </w:tcPr>
          <w:p w14:paraId="3D382543" w14:textId="671C3C26" w:rsidR="00181537" w:rsidRPr="00F11887" w:rsidRDefault="00D04C5B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Several connections are traced between the poem and our local </w:t>
            </w:r>
            <w:r w:rsidR="00AD1DF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environment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, enhanc</w:t>
            </w:r>
            <w:r w:rsidR="006B727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ing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understanding of the text</w:t>
            </w:r>
            <w:r w:rsidR="006B727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somewhat.</w:t>
            </w:r>
            <w:r w:rsidR="004334A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521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Audience members may not fully understand the connections made between the text and our </w:t>
            </w:r>
            <w:r w:rsidR="00AD1DF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environment</w:t>
            </w:r>
            <w:r w:rsidR="00EE521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338" w:type="dxa"/>
          </w:tcPr>
          <w:p w14:paraId="2DFA5BA0" w14:textId="52BD8F15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Multiple</w:t>
            </w:r>
            <w:r w:rsidR="001225E3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clear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connections are traced between the poem and ou</w:t>
            </w:r>
            <w:r w:rsidR="00D04C5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r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local</w:t>
            </w:r>
            <w:r w:rsidR="00AD1DFB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environment</w:t>
            </w:r>
            <w:r w:rsidR="0081325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, leading to an enhanced understanding of the text.</w:t>
            </w:r>
          </w:p>
        </w:tc>
      </w:tr>
      <w:tr w:rsidR="00181537" w:rsidRPr="00F11887" w14:paraId="53A59739" w14:textId="77777777" w:rsidTr="00181537">
        <w:tc>
          <w:tcPr>
            <w:tcW w:w="2337" w:type="dxa"/>
          </w:tcPr>
          <w:p w14:paraId="3F3DF697" w14:textId="3EC29EDF" w:rsidR="00181537" w:rsidRPr="00F11887" w:rsidRDefault="00405A8F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Analysis of the text</w:t>
            </w:r>
            <w:r w:rsidR="0062258F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(20%)</w:t>
            </w:r>
          </w:p>
        </w:tc>
        <w:tc>
          <w:tcPr>
            <w:tcW w:w="2337" w:type="dxa"/>
          </w:tcPr>
          <w:p w14:paraId="4729C703" w14:textId="12D1EAFD" w:rsidR="00181537" w:rsidRPr="00F11887" w:rsidRDefault="00CD0A30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sz w:val="20"/>
                <w:szCs w:val="20"/>
              </w:rPr>
              <w:t xml:space="preserve">There is no </w:t>
            </w:r>
            <w:r w:rsidR="00433DFF" w:rsidRPr="00F11887">
              <w:rPr>
                <w:sz w:val="20"/>
                <w:szCs w:val="20"/>
              </w:rPr>
              <w:t>effort to demonstrate understanding of the text or to elucidate</w:t>
            </w:r>
            <w:r w:rsidRPr="00F11887">
              <w:rPr>
                <w:sz w:val="20"/>
                <w:szCs w:val="20"/>
              </w:rPr>
              <w:t xml:space="preserve"> </w:t>
            </w:r>
            <w:r w:rsidR="00D56973" w:rsidRPr="00F11887">
              <w:rPr>
                <w:sz w:val="20"/>
                <w:szCs w:val="20"/>
              </w:rPr>
              <w:t>potential point</w:t>
            </w:r>
            <w:r w:rsidRPr="00F11887">
              <w:rPr>
                <w:sz w:val="20"/>
                <w:szCs w:val="20"/>
              </w:rPr>
              <w:t>s</w:t>
            </w:r>
            <w:r w:rsidR="00D56973" w:rsidRPr="00F11887">
              <w:rPr>
                <w:sz w:val="20"/>
                <w:szCs w:val="20"/>
              </w:rPr>
              <w:t xml:space="preserve"> of confusion</w:t>
            </w:r>
            <w:r w:rsidR="00433DFF" w:rsidRPr="00F11887">
              <w:rPr>
                <w:sz w:val="20"/>
                <w:szCs w:val="20"/>
              </w:rPr>
              <w:t xml:space="preserve"> related to syntax, meter, vocabulary, etc.</w:t>
            </w:r>
          </w:p>
        </w:tc>
        <w:tc>
          <w:tcPr>
            <w:tcW w:w="2338" w:type="dxa"/>
          </w:tcPr>
          <w:p w14:paraId="28C494DC" w14:textId="7ED2E412" w:rsidR="00181537" w:rsidRPr="00F11887" w:rsidRDefault="00CD0A30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sz w:val="20"/>
                <w:szCs w:val="20"/>
              </w:rPr>
              <w:t xml:space="preserve">Presenter offers an </w:t>
            </w:r>
            <w:r w:rsidR="00433DFF" w:rsidRPr="00F11887">
              <w:rPr>
                <w:sz w:val="20"/>
                <w:szCs w:val="20"/>
              </w:rPr>
              <w:t>analysis</w:t>
            </w:r>
            <w:r w:rsidRPr="00F11887">
              <w:rPr>
                <w:sz w:val="20"/>
                <w:szCs w:val="20"/>
              </w:rPr>
              <w:t xml:space="preserve"> of the text, elucidating several potential points of confusion</w:t>
            </w:r>
            <w:r w:rsidR="00433DFF" w:rsidRPr="00F11887">
              <w:rPr>
                <w:sz w:val="20"/>
                <w:szCs w:val="20"/>
              </w:rPr>
              <w:t xml:space="preserve"> related to syntax, meter, vocabulary, etc.</w:t>
            </w:r>
            <w:r w:rsidRPr="00F11887">
              <w:rPr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88F7C70" w14:textId="657EB71E" w:rsidR="00181537" w:rsidRPr="00F11887" w:rsidRDefault="00CD0A30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sz w:val="20"/>
                <w:szCs w:val="20"/>
              </w:rPr>
              <w:t>Presenter offers a</w:t>
            </w:r>
            <w:r w:rsidR="00D56973" w:rsidRPr="00F11887">
              <w:rPr>
                <w:sz w:val="20"/>
                <w:szCs w:val="20"/>
              </w:rPr>
              <w:t xml:space="preserve"> clear, incisive </w:t>
            </w:r>
            <w:r w:rsidR="00433DFF" w:rsidRPr="00F11887">
              <w:rPr>
                <w:sz w:val="20"/>
                <w:szCs w:val="20"/>
              </w:rPr>
              <w:t>analysis</w:t>
            </w:r>
            <w:r w:rsidR="00D56973" w:rsidRPr="00F11887">
              <w:rPr>
                <w:sz w:val="20"/>
                <w:szCs w:val="20"/>
              </w:rPr>
              <w:t xml:space="preserve"> of </w:t>
            </w:r>
            <w:r w:rsidRPr="00F11887">
              <w:rPr>
                <w:sz w:val="20"/>
                <w:szCs w:val="20"/>
              </w:rPr>
              <w:t>the</w:t>
            </w:r>
            <w:r w:rsidR="00D56973" w:rsidRPr="00F11887">
              <w:rPr>
                <w:sz w:val="20"/>
                <w:szCs w:val="20"/>
              </w:rPr>
              <w:t xml:space="preserve"> text</w:t>
            </w:r>
            <w:r w:rsidRPr="00F11887">
              <w:rPr>
                <w:sz w:val="20"/>
                <w:szCs w:val="20"/>
              </w:rPr>
              <w:t xml:space="preserve">, </w:t>
            </w:r>
            <w:r w:rsidR="00D56973" w:rsidRPr="00F11887">
              <w:rPr>
                <w:sz w:val="20"/>
                <w:szCs w:val="20"/>
              </w:rPr>
              <w:t>elucidat</w:t>
            </w:r>
            <w:r w:rsidRPr="00F11887">
              <w:rPr>
                <w:sz w:val="20"/>
                <w:szCs w:val="20"/>
              </w:rPr>
              <w:t>ing</w:t>
            </w:r>
            <w:r w:rsidR="00D56973" w:rsidRPr="00F11887">
              <w:rPr>
                <w:sz w:val="20"/>
                <w:szCs w:val="20"/>
              </w:rPr>
              <w:t xml:space="preserve"> any potential points of confusion</w:t>
            </w:r>
            <w:r w:rsidR="00433DFF" w:rsidRPr="00F11887">
              <w:rPr>
                <w:sz w:val="20"/>
                <w:szCs w:val="20"/>
              </w:rPr>
              <w:t xml:space="preserve"> related to syntax, meter, vocabulary, etc</w:t>
            </w:r>
            <w:r w:rsidR="00D56973" w:rsidRPr="00F11887">
              <w:rPr>
                <w:sz w:val="20"/>
                <w:szCs w:val="20"/>
              </w:rPr>
              <w:t>.</w:t>
            </w:r>
          </w:p>
        </w:tc>
      </w:tr>
      <w:tr w:rsidR="00181537" w:rsidRPr="00F11887" w14:paraId="6C706414" w14:textId="77777777" w:rsidTr="00181537">
        <w:tc>
          <w:tcPr>
            <w:tcW w:w="2337" w:type="dxa"/>
          </w:tcPr>
          <w:p w14:paraId="12A74AF0" w14:textId="49B3C13A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Quality of presentation</w:t>
            </w:r>
            <w:r w:rsidR="0062258F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(15%)</w:t>
            </w:r>
          </w:p>
        </w:tc>
        <w:tc>
          <w:tcPr>
            <w:tcW w:w="2337" w:type="dxa"/>
          </w:tcPr>
          <w:p w14:paraId="36F29BE0" w14:textId="03297592" w:rsidR="00181537" w:rsidRPr="00F11887" w:rsidRDefault="00791B8F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Presenter does not use </w:t>
            </w:r>
            <w:r w:rsidR="008C1856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(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appropriate</w:t>
            </w:r>
            <w:r w:rsidR="008C1856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)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supports (visual, auditory, etc.) and </w:t>
            </w:r>
            <w:r w:rsidR="008C1856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does not 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engage the audience in the presentation. Presenter </w:t>
            </w:r>
            <w:r w:rsidR="008C1856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is unable to respond to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questions and comments</w:t>
            </w:r>
            <w:r w:rsidR="008C1856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or does so in a negative manner.</w:t>
            </w:r>
          </w:p>
        </w:tc>
        <w:tc>
          <w:tcPr>
            <w:tcW w:w="2338" w:type="dxa"/>
          </w:tcPr>
          <w:p w14:paraId="1452AD2E" w14:textId="126303F0" w:rsidR="00181537" w:rsidRPr="00F11887" w:rsidRDefault="00515544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Presenter uses appropriate supports (visual, auditory, etc.) and engages the audience in the presentation. Presenter responds to questions and comments.</w:t>
            </w:r>
          </w:p>
        </w:tc>
        <w:tc>
          <w:tcPr>
            <w:tcW w:w="2338" w:type="dxa"/>
          </w:tcPr>
          <w:p w14:paraId="42CA7828" w14:textId="54CC4E2E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Presenter uses </w:t>
            </w:r>
            <w:r w:rsidR="00B3414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a variety of 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appropriate supports (visual, auditory, etc.) and engages the audience </w:t>
            </w:r>
            <w:r w:rsidR="00515544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fully 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in the presentation. Presenter handles questions and comments in a positive, collaborative manner.</w:t>
            </w:r>
          </w:p>
        </w:tc>
      </w:tr>
      <w:tr w:rsidR="00181537" w:rsidRPr="00F11887" w14:paraId="7208E44B" w14:textId="77777777" w:rsidTr="00181537">
        <w:tc>
          <w:tcPr>
            <w:tcW w:w="2337" w:type="dxa"/>
          </w:tcPr>
          <w:p w14:paraId="2EBC5365" w14:textId="3115B05D" w:rsidR="00181537" w:rsidRPr="00F11887" w:rsidRDefault="001B686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Quality of written work</w:t>
            </w:r>
            <w:r w:rsidR="0062258F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(15%)</w:t>
            </w:r>
          </w:p>
        </w:tc>
        <w:tc>
          <w:tcPr>
            <w:tcW w:w="2337" w:type="dxa"/>
          </w:tcPr>
          <w:p w14:paraId="09D81466" w14:textId="60C03CBA" w:rsidR="00181537" w:rsidRPr="00F11887" w:rsidRDefault="00374E0E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Written components (including text on slides and handouts) are unclear and/or disorganized. Multiple linguistic or typographical errors are present, including serious errors.</w:t>
            </w:r>
          </w:p>
        </w:tc>
        <w:tc>
          <w:tcPr>
            <w:tcW w:w="2338" w:type="dxa"/>
          </w:tcPr>
          <w:p w14:paraId="41934434" w14:textId="773A0FDB" w:rsidR="00181537" w:rsidRPr="00F11887" w:rsidRDefault="00374E0E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Written components (including text on slides and handouts) are clear and well organized. A few linguistic or typographical errors are present</w:t>
            </w:r>
            <w:r w:rsidR="00855F08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of which one or two may be serious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338" w:type="dxa"/>
          </w:tcPr>
          <w:p w14:paraId="49AC4CBE" w14:textId="4FBED48F" w:rsidR="00181537" w:rsidRPr="00F11887" w:rsidRDefault="00067598" w:rsidP="00237AF8">
            <w:pP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Written components (including text on slides and handouts) are</w:t>
            </w:r>
            <w:r w:rsidR="00374E0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clear and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well organized</w:t>
            </w:r>
            <w:r w:rsidR="004E4269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 They support the author’s claims.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</w:t>
            </w:r>
            <w:r w:rsidR="00374E0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No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</w:t>
            </w:r>
            <w:r w:rsidR="00374E0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serious </w:t>
            </w:r>
            <w:r w:rsidR="00350F40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linguistic </w:t>
            </w:r>
            <w:r w:rsidR="00374E0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or </w:t>
            </w:r>
            <w:r w:rsidR="00350F40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typographical 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errors</w:t>
            </w:r>
            <w:r w:rsidR="00374E0E"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 xml:space="preserve"> are present</w:t>
            </w:r>
            <w:r w:rsidRPr="00F11887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313135C3" w14:textId="77777777" w:rsidR="00237AF8" w:rsidRDefault="00237AF8"/>
    <w:sectPr w:rsidR="0023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8"/>
    <w:rsid w:val="000173DB"/>
    <w:rsid w:val="0003783F"/>
    <w:rsid w:val="00040736"/>
    <w:rsid w:val="000552F1"/>
    <w:rsid w:val="00067598"/>
    <w:rsid w:val="00070517"/>
    <w:rsid w:val="000D2715"/>
    <w:rsid w:val="000F613A"/>
    <w:rsid w:val="000F7D91"/>
    <w:rsid w:val="001037B6"/>
    <w:rsid w:val="001225E3"/>
    <w:rsid w:val="001565E6"/>
    <w:rsid w:val="0017055F"/>
    <w:rsid w:val="00181537"/>
    <w:rsid w:val="001B6868"/>
    <w:rsid w:val="001D6D5E"/>
    <w:rsid w:val="001E5F4D"/>
    <w:rsid w:val="002155D6"/>
    <w:rsid w:val="00237AF8"/>
    <w:rsid w:val="0024192E"/>
    <w:rsid w:val="0024792B"/>
    <w:rsid w:val="002A10EC"/>
    <w:rsid w:val="002A3350"/>
    <w:rsid w:val="002A42E8"/>
    <w:rsid w:val="00333851"/>
    <w:rsid w:val="00350F40"/>
    <w:rsid w:val="00374E0E"/>
    <w:rsid w:val="00381E1D"/>
    <w:rsid w:val="00384B91"/>
    <w:rsid w:val="003A6A34"/>
    <w:rsid w:val="003D365E"/>
    <w:rsid w:val="00405A8F"/>
    <w:rsid w:val="004334AE"/>
    <w:rsid w:val="00433DFF"/>
    <w:rsid w:val="004527AD"/>
    <w:rsid w:val="004A724E"/>
    <w:rsid w:val="004E4269"/>
    <w:rsid w:val="00506542"/>
    <w:rsid w:val="0051231B"/>
    <w:rsid w:val="00515544"/>
    <w:rsid w:val="00546C7B"/>
    <w:rsid w:val="005905C8"/>
    <w:rsid w:val="00591D5E"/>
    <w:rsid w:val="005D28ED"/>
    <w:rsid w:val="005E025E"/>
    <w:rsid w:val="0062258F"/>
    <w:rsid w:val="00685A3B"/>
    <w:rsid w:val="006A20B7"/>
    <w:rsid w:val="006A6D99"/>
    <w:rsid w:val="006B7278"/>
    <w:rsid w:val="006E2C3C"/>
    <w:rsid w:val="00714D84"/>
    <w:rsid w:val="0074780D"/>
    <w:rsid w:val="0079182C"/>
    <w:rsid w:val="00791B8F"/>
    <w:rsid w:val="007C3E29"/>
    <w:rsid w:val="007F0063"/>
    <w:rsid w:val="007F656B"/>
    <w:rsid w:val="00813259"/>
    <w:rsid w:val="00814698"/>
    <w:rsid w:val="00815F6C"/>
    <w:rsid w:val="00855F08"/>
    <w:rsid w:val="00862353"/>
    <w:rsid w:val="00882921"/>
    <w:rsid w:val="00890B73"/>
    <w:rsid w:val="008A550C"/>
    <w:rsid w:val="008B2B2E"/>
    <w:rsid w:val="008C1856"/>
    <w:rsid w:val="008E38E6"/>
    <w:rsid w:val="00920387"/>
    <w:rsid w:val="00996FB4"/>
    <w:rsid w:val="009A091D"/>
    <w:rsid w:val="009A6FAD"/>
    <w:rsid w:val="009C0D6D"/>
    <w:rsid w:val="009D0314"/>
    <w:rsid w:val="009D41D0"/>
    <w:rsid w:val="00A165BC"/>
    <w:rsid w:val="00A229D2"/>
    <w:rsid w:val="00A5689F"/>
    <w:rsid w:val="00A64C18"/>
    <w:rsid w:val="00AC749B"/>
    <w:rsid w:val="00AD1DFB"/>
    <w:rsid w:val="00AD4D5C"/>
    <w:rsid w:val="00B12E06"/>
    <w:rsid w:val="00B34149"/>
    <w:rsid w:val="00BA5950"/>
    <w:rsid w:val="00BB361E"/>
    <w:rsid w:val="00BC0E47"/>
    <w:rsid w:val="00BD170D"/>
    <w:rsid w:val="00C00000"/>
    <w:rsid w:val="00C2083A"/>
    <w:rsid w:val="00C82B7D"/>
    <w:rsid w:val="00C93E5F"/>
    <w:rsid w:val="00CA1165"/>
    <w:rsid w:val="00CA3B6F"/>
    <w:rsid w:val="00CC0652"/>
    <w:rsid w:val="00CD0A30"/>
    <w:rsid w:val="00CE78C0"/>
    <w:rsid w:val="00D04C5B"/>
    <w:rsid w:val="00D06BC9"/>
    <w:rsid w:val="00D123AE"/>
    <w:rsid w:val="00D15B6C"/>
    <w:rsid w:val="00D30311"/>
    <w:rsid w:val="00D56973"/>
    <w:rsid w:val="00D704A8"/>
    <w:rsid w:val="00D866A1"/>
    <w:rsid w:val="00DA1938"/>
    <w:rsid w:val="00DB03DB"/>
    <w:rsid w:val="00DB119B"/>
    <w:rsid w:val="00DB2F1E"/>
    <w:rsid w:val="00DB5C97"/>
    <w:rsid w:val="00DC489F"/>
    <w:rsid w:val="00E17520"/>
    <w:rsid w:val="00E209D4"/>
    <w:rsid w:val="00E325E4"/>
    <w:rsid w:val="00E406DC"/>
    <w:rsid w:val="00E51097"/>
    <w:rsid w:val="00EC56C8"/>
    <w:rsid w:val="00EE5219"/>
    <w:rsid w:val="00F11887"/>
    <w:rsid w:val="00F75695"/>
    <w:rsid w:val="00F86DA6"/>
    <w:rsid w:val="00FC6BE4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7329F"/>
  <w15:chartTrackingRefBased/>
  <w15:docId w15:val="{F9DB3117-8E05-6249-95F9-9DEA031D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Edgington</dc:creator>
  <cp:keywords/>
  <dc:description/>
  <cp:lastModifiedBy>Erin Edgington</cp:lastModifiedBy>
  <cp:revision>143</cp:revision>
  <dcterms:created xsi:type="dcterms:W3CDTF">2023-07-30T16:43:00Z</dcterms:created>
  <dcterms:modified xsi:type="dcterms:W3CDTF">2023-07-31T00:32:00Z</dcterms:modified>
</cp:coreProperties>
</file>